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11"/>
          <w:sz w:val="32"/>
          <w:szCs w:val="32"/>
          <w:lang w:val="en-US" w:eastAsia="zh-CN"/>
        </w:rPr>
        <w:t>启东市</w:t>
      </w:r>
      <w:r>
        <w:rPr>
          <w:rFonts w:hint="eastAsia" w:asciiTheme="minorEastAsia" w:hAnsiTheme="minorEastAsia"/>
          <w:b/>
          <w:spacing w:val="-11"/>
          <w:sz w:val="32"/>
          <w:szCs w:val="32"/>
          <w:lang w:val="en-US" w:eastAsia="zh-CN"/>
        </w:rPr>
        <w:t>吕四</w:t>
      </w:r>
      <w:r>
        <w:rPr>
          <w:rFonts w:hint="eastAsia" w:asciiTheme="minorEastAsia" w:hAnsiTheme="minorEastAsia" w:eastAsiaTheme="minorEastAsia"/>
          <w:b/>
          <w:spacing w:val="-11"/>
          <w:sz w:val="32"/>
          <w:szCs w:val="32"/>
          <w:lang w:val="en-US" w:eastAsia="zh-CN"/>
        </w:rPr>
        <w:t>自来水厂有限公司钢制双法兰限位伸缩节2025-</w:t>
      </w:r>
      <w:r>
        <w:rPr>
          <w:rFonts w:hint="eastAsia" w:asciiTheme="minorEastAsia" w:hAnsiTheme="minorEastAsia"/>
          <w:b/>
          <w:spacing w:val="-11"/>
          <w:sz w:val="32"/>
          <w:szCs w:val="32"/>
          <w:lang w:val="en-US" w:eastAsia="zh-CN"/>
        </w:rPr>
        <w:t>2026</w:t>
      </w:r>
      <w:r>
        <w:rPr>
          <w:rFonts w:hint="eastAsia" w:asciiTheme="minorEastAsia" w:hAnsiTheme="minorEastAsia" w:eastAsiaTheme="minorEastAsia"/>
          <w:b/>
          <w:spacing w:val="-11"/>
          <w:sz w:val="32"/>
          <w:szCs w:val="32"/>
          <w:lang w:val="en-US" w:eastAsia="zh-CN"/>
        </w:rPr>
        <w:t>年度采购项目</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启东市吕四自来水厂有限公司钢制双法兰限位伸缩节2025-2026年度采购项目即将实施，现就该项目进行市场询价调研。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启东市吕四自来水厂有限公司钢制双法兰限位伸缩节2025-2026年度采购项目采购清单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参与报价的单位需将</w:t>
      </w:r>
      <w:r>
        <w:rPr>
          <w:rStyle w:val="28"/>
          <w:rFonts w:hint="eastAsia" w:ascii="宋体" w:hAnsi="宋体" w:eastAsia="宋体" w:cs="宋体"/>
          <w:kern w:val="0"/>
          <w:sz w:val="24"/>
          <w:szCs w:val="24"/>
          <w:highlight w:val="none"/>
          <w:lang w:val="en-US" w:eastAsia="zh-CN"/>
        </w:rPr>
        <w:t>有效的</w:t>
      </w:r>
      <w:r>
        <w:rPr>
          <w:rStyle w:val="28"/>
          <w:rFonts w:hint="eastAsia" w:ascii="宋体" w:hAnsi="宋体" w:eastAsia="宋体" w:cs="宋体"/>
          <w:kern w:val="0"/>
          <w:sz w:val="24"/>
          <w:szCs w:val="24"/>
          <w:highlight w:val="none"/>
        </w:rPr>
        <w:t>营业执照复印件和市场询价</w:t>
      </w:r>
      <w:r>
        <w:rPr>
          <w:rStyle w:val="28"/>
          <w:rFonts w:hint="eastAsia" w:ascii="宋体" w:hAnsi="宋体" w:eastAsia="宋体" w:cs="宋体"/>
          <w:kern w:val="0"/>
          <w:sz w:val="24"/>
          <w:szCs w:val="24"/>
          <w:highlight w:val="none"/>
          <w:lang w:val="en-US" w:eastAsia="zh-CN"/>
        </w:rPr>
        <w:t>报价单（含汇总表及分项报价表）及</w:t>
      </w:r>
      <w:r>
        <w:rPr>
          <w:rStyle w:val="28"/>
          <w:rFonts w:hint="eastAsia" w:ascii="宋体" w:hAnsi="宋体" w:eastAsia="宋体" w:cs="宋体"/>
          <w:b/>
          <w:bCs/>
          <w:kern w:val="0"/>
          <w:sz w:val="24"/>
          <w:szCs w:val="24"/>
          <w:highlight w:val="none"/>
          <w:lang w:val="en-US" w:eastAsia="zh-CN"/>
        </w:rPr>
        <w:t>自2022年以来的供水企业业绩证明</w:t>
      </w:r>
      <w:r>
        <w:rPr>
          <w:rStyle w:val="28"/>
          <w:rFonts w:hint="eastAsia" w:ascii="宋体" w:hAnsi="宋体" w:eastAsia="宋体" w:cs="宋体"/>
          <w:kern w:val="0"/>
          <w:sz w:val="24"/>
          <w:szCs w:val="24"/>
          <w:highlight w:val="none"/>
          <w:lang w:val="en-US" w:eastAsia="zh-CN"/>
        </w:rPr>
        <w:t>（相对应的合同、发票扫描件）加盖公章</w:t>
      </w:r>
      <w:r>
        <w:rPr>
          <w:rStyle w:val="28"/>
          <w:rFonts w:hint="eastAsia" w:ascii="宋体" w:hAnsi="宋体" w:eastAsia="宋体" w:cs="宋体"/>
          <w:kern w:val="0"/>
          <w:sz w:val="24"/>
          <w:szCs w:val="24"/>
          <w:highlight w:val="none"/>
        </w:rPr>
        <w:t>于</w:t>
      </w:r>
      <w:r>
        <w:rPr>
          <w:rStyle w:val="28"/>
          <w:rFonts w:hint="eastAsia" w:ascii="宋体" w:hAnsi="宋体" w:eastAsia="宋体" w:cs="宋体"/>
          <w:kern w:val="0"/>
          <w:sz w:val="24"/>
          <w:szCs w:val="24"/>
          <w:highlight w:val="yellow"/>
        </w:rPr>
        <w:t>202</w:t>
      </w:r>
      <w:r>
        <w:rPr>
          <w:rStyle w:val="28"/>
          <w:rFonts w:hint="eastAsia" w:ascii="宋体" w:hAnsi="宋体" w:eastAsia="宋体" w:cs="宋体"/>
          <w:kern w:val="0"/>
          <w:sz w:val="24"/>
          <w:szCs w:val="24"/>
          <w:highlight w:val="yellow"/>
          <w:lang w:val="en-US" w:eastAsia="zh-CN"/>
        </w:rPr>
        <w:t>5</w:t>
      </w:r>
      <w:r>
        <w:rPr>
          <w:rStyle w:val="28"/>
          <w:rFonts w:hint="eastAsia" w:ascii="宋体" w:hAnsi="宋体" w:eastAsia="宋体" w:cs="宋体"/>
          <w:kern w:val="0"/>
          <w:sz w:val="24"/>
          <w:szCs w:val="24"/>
          <w:highlight w:val="yellow"/>
        </w:rPr>
        <w:t>年</w:t>
      </w:r>
      <w:r>
        <w:rPr>
          <w:rStyle w:val="28"/>
          <w:rFonts w:hint="eastAsia" w:ascii="宋体" w:hAnsi="宋体" w:eastAsia="宋体" w:cs="宋体"/>
          <w:kern w:val="0"/>
          <w:sz w:val="24"/>
          <w:szCs w:val="24"/>
          <w:highlight w:val="yellow"/>
          <w:lang w:val="en-US" w:eastAsia="zh-CN"/>
        </w:rPr>
        <w:t>4</w:t>
      </w:r>
      <w:r>
        <w:rPr>
          <w:rStyle w:val="28"/>
          <w:rFonts w:hint="eastAsia" w:ascii="宋体" w:hAnsi="宋体" w:eastAsia="宋体" w:cs="宋体"/>
          <w:kern w:val="0"/>
          <w:sz w:val="24"/>
          <w:szCs w:val="24"/>
          <w:highlight w:val="yellow"/>
        </w:rPr>
        <w:t>月</w:t>
      </w:r>
      <w:r>
        <w:rPr>
          <w:rStyle w:val="28"/>
          <w:rFonts w:hint="eastAsia" w:ascii="宋体" w:hAnsi="宋体" w:eastAsia="宋体" w:cs="宋体"/>
          <w:kern w:val="0"/>
          <w:sz w:val="24"/>
          <w:szCs w:val="24"/>
          <w:highlight w:val="yellow"/>
          <w:lang w:val="en-US" w:eastAsia="zh-CN"/>
        </w:rPr>
        <w:t>1</w:t>
      </w:r>
      <w:r>
        <w:rPr>
          <w:rStyle w:val="28"/>
          <w:rFonts w:hint="eastAsia" w:ascii="宋体" w:hAnsi="宋体" w:eastAsia="宋体" w:cs="宋体"/>
          <w:kern w:val="0"/>
          <w:sz w:val="24"/>
          <w:szCs w:val="24"/>
          <w:highlight w:val="yellow"/>
        </w:rPr>
        <w:t>日</w:t>
      </w:r>
      <w:r>
        <w:rPr>
          <w:rStyle w:val="28"/>
          <w:rFonts w:hint="eastAsia" w:ascii="宋体" w:hAnsi="宋体" w:eastAsia="宋体" w:cs="宋体"/>
          <w:kern w:val="0"/>
          <w:sz w:val="24"/>
          <w:szCs w:val="24"/>
          <w:highlight w:val="none"/>
        </w:rPr>
        <w:t>17:00前</w:t>
      </w:r>
      <w:r>
        <w:rPr>
          <w:rStyle w:val="2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沈殿程，</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13306282203</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4</w:t>
      </w:r>
      <w:r>
        <w:rPr>
          <w:rStyle w:val="2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.拟定支付方式及期限：银行转账，按启东市</w:t>
      </w:r>
      <w:r>
        <w:rPr>
          <w:rStyle w:val="28"/>
          <w:rFonts w:hint="eastAsia" w:ascii="宋体" w:hAnsi="宋体" w:eastAsia="宋体" w:cs="宋体"/>
          <w:kern w:val="0"/>
          <w:sz w:val="24"/>
          <w:szCs w:val="24"/>
          <w:highlight w:val="none"/>
          <w:lang w:val="en-US" w:eastAsia="zh-CN"/>
        </w:rPr>
        <w:t>吕四</w:t>
      </w:r>
      <w:r>
        <w:rPr>
          <w:rStyle w:val="28"/>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yellow"/>
          <w:lang w:val="en-US" w:eastAsia="zh-CN" w:bidi="ar-SA"/>
        </w:rPr>
      </w:pPr>
      <w:r>
        <w:rPr>
          <w:rStyle w:val="28"/>
          <w:rFonts w:hint="eastAsia" w:ascii="宋体" w:hAnsi="宋体" w:eastAsia="宋体" w:cs="宋体"/>
          <w:kern w:val="0"/>
          <w:sz w:val="24"/>
          <w:szCs w:val="24"/>
          <w:highlight w:val="yellow"/>
          <w:lang w:val="en-US" w:eastAsia="zh-CN" w:bidi="ar-SA"/>
        </w:rPr>
        <w:t>2025年3月28日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6EF6C5F4">
      <w:pPr>
        <w:pStyle w:val="2"/>
        <w:rPr>
          <w:rFonts w:hint="eastAsia" w:ascii="宋体" w:hAnsi="宋体" w:cs="宋体"/>
          <w:b/>
          <w:color w:val="auto"/>
          <w:kern w:val="0"/>
          <w:sz w:val="28"/>
          <w:szCs w:val="28"/>
          <w:highlight w:val="none"/>
          <w:lang w:val="en-US" w:eastAsia="zh-CN"/>
        </w:rPr>
      </w:pPr>
    </w:p>
    <w:p w14:paraId="030B7A81">
      <w:pPr>
        <w:pStyle w:val="2"/>
        <w:rPr>
          <w:rFonts w:hint="eastAsia" w:ascii="宋体" w:hAnsi="宋体" w:cs="宋体"/>
          <w:b/>
          <w:color w:val="auto"/>
          <w:kern w:val="0"/>
          <w:sz w:val="28"/>
          <w:szCs w:val="28"/>
          <w:highlight w:val="none"/>
          <w:lang w:val="en-US" w:eastAsia="zh-CN"/>
        </w:rPr>
      </w:pPr>
    </w:p>
    <w:p w14:paraId="2E46DC16">
      <w:pPr>
        <w:pStyle w:val="2"/>
        <w:rPr>
          <w:rFonts w:hint="eastAsia" w:ascii="宋体" w:hAnsi="宋体" w:cs="宋体"/>
          <w:b/>
          <w:color w:val="auto"/>
          <w:kern w:val="0"/>
          <w:sz w:val="28"/>
          <w:szCs w:val="28"/>
          <w:highlight w:val="none"/>
          <w:lang w:val="en-US" w:eastAsia="zh-CN"/>
        </w:rPr>
      </w:pPr>
    </w:p>
    <w:p w14:paraId="7C37C0CE">
      <w:pPr>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10455"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2"/>
        <w:gridCol w:w="223"/>
        <w:gridCol w:w="1890"/>
        <w:gridCol w:w="1080"/>
        <w:gridCol w:w="1350"/>
        <w:gridCol w:w="84"/>
        <w:gridCol w:w="801"/>
        <w:gridCol w:w="750"/>
        <w:gridCol w:w="1245"/>
        <w:gridCol w:w="1320"/>
        <w:gridCol w:w="1380"/>
      </w:tblGrid>
      <w:tr w14:paraId="3859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455" w:type="dxa"/>
            <w:gridSpan w:val="11"/>
            <w:tcBorders>
              <w:top w:val="nil"/>
              <w:left w:val="nil"/>
              <w:bottom w:val="nil"/>
              <w:right w:val="nil"/>
            </w:tcBorders>
            <w:shd w:val="clear" w:color="auto" w:fill="auto"/>
            <w:vAlign w:val="center"/>
          </w:tcPr>
          <w:p w14:paraId="4A08C0FA">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启东市吕四自来水厂有限公司</w:t>
            </w:r>
          </w:p>
          <w:p w14:paraId="6447DC91">
            <w:pPr>
              <w:keepNext w:val="0"/>
              <w:keepLines w:val="0"/>
              <w:widowControl/>
              <w:suppressLineNumbers w:val="0"/>
              <w:jc w:val="center"/>
              <w:textAlignment w:val="center"/>
              <w:rPr>
                <w:rFonts w:hint="default" w:ascii="宋体" w:hAnsi="宋体" w:eastAsia="宋体" w:cs="宋体"/>
                <w:b/>
                <w:bCs/>
                <w:i w:val="0"/>
                <w:iCs w:val="0"/>
                <w:color w:val="000000"/>
                <w:sz w:val="28"/>
                <w:szCs w:val="28"/>
                <w:u w:val="none"/>
                <w:lang w:val="en-US"/>
              </w:rPr>
            </w:pPr>
            <w:r>
              <w:rPr>
                <w:rFonts w:hint="eastAsia" w:asciiTheme="minorEastAsia" w:hAnsiTheme="minorEastAsia" w:eastAsiaTheme="minorEastAsia"/>
                <w:b/>
                <w:spacing w:val="-11"/>
                <w:sz w:val="32"/>
                <w:szCs w:val="32"/>
                <w:lang w:val="en-US" w:eastAsia="zh-CN"/>
              </w:rPr>
              <w:t>钢制双法兰限位伸缩节2025-</w:t>
            </w:r>
            <w:r>
              <w:rPr>
                <w:rFonts w:hint="eastAsia" w:asciiTheme="minorEastAsia" w:hAnsiTheme="minorEastAsia"/>
                <w:b/>
                <w:spacing w:val="-11"/>
                <w:sz w:val="32"/>
                <w:szCs w:val="32"/>
                <w:lang w:val="en-US" w:eastAsia="zh-CN"/>
              </w:rPr>
              <w:t>2026</w:t>
            </w:r>
            <w:r>
              <w:rPr>
                <w:rFonts w:hint="eastAsia" w:asciiTheme="minorEastAsia" w:hAnsiTheme="minorEastAsia" w:eastAsiaTheme="minorEastAsia"/>
                <w:b/>
                <w:spacing w:val="-11"/>
                <w:sz w:val="32"/>
                <w:szCs w:val="32"/>
                <w:lang w:val="en-US" w:eastAsia="zh-CN"/>
              </w:rPr>
              <w:t>年度采购</w:t>
            </w:r>
            <w:r>
              <w:rPr>
                <w:rFonts w:hint="eastAsia" w:ascii="宋体" w:hAnsi="宋体" w:eastAsia="宋体" w:cs="宋体"/>
                <w:b/>
                <w:bCs/>
                <w:i w:val="0"/>
                <w:iCs w:val="0"/>
                <w:color w:val="000000"/>
                <w:kern w:val="0"/>
                <w:sz w:val="28"/>
                <w:szCs w:val="28"/>
                <w:u w:val="none"/>
                <w:lang w:val="en-US" w:eastAsia="zh-CN" w:bidi="ar"/>
              </w:rPr>
              <w:t>项目采购清单</w:t>
            </w:r>
          </w:p>
        </w:tc>
      </w:tr>
      <w:tr w14:paraId="6C551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3F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9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ED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4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1D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F7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（元/只）</w:t>
            </w:r>
          </w:p>
        </w:tc>
        <w:tc>
          <w:tcPr>
            <w:tcW w:w="1320" w:type="dxa"/>
            <w:tcBorders>
              <w:top w:val="single" w:color="000000" w:sz="4" w:space="0"/>
              <w:left w:val="single" w:color="000000" w:sz="4" w:space="0"/>
              <w:bottom w:val="single" w:color="000000" w:sz="4" w:space="0"/>
              <w:right w:val="nil"/>
            </w:tcBorders>
            <w:shd w:val="clear" w:color="auto" w:fill="auto"/>
            <w:vAlign w:val="center"/>
          </w:tcPr>
          <w:p w14:paraId="0BD30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F1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6B2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93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D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3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90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0AF0">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117A">
            <w:pPr>
              <w:rPr>
                <w:rFonts w:hint="eastAsia" w:ascii="宋体" w:hAnsi="宋体" w:eastAsia="宋体" w:cs="宋体"/>
                <w:i w:val="0"/>
                <w:iCs w:val="0"/>
                <w:color w:val="000000"/>
                <w:sz w:val="22"/>
                <w:szCs w:val="22"/>
                <w:u w:val="none"/>
              </w:rPr>
            </w:pPr>
          </w:p>
        </w:tc>
        <w:tc>
          <w:tcPr>
            <w:tcW w:w="1380" w:type="dxa"/>
            <w:vMerge w:val="restart"/>
            <w:tcBorders>
              <w:top w:val="single" w:color="000000" w:sz="4" w:space="0"/>
              <w:left w:val="single" w:color="000000" w:sz="4" w:space="0"/>
              <w:right w:val="single" w:color="000000" w:sz="4" w:space="0"/>
            </w:tcBorders>
            <w:shd w:val="clear" w:color="auto" w:fill="auto"/>
            <w:vAlign w:val="center"/>
          </w:tcPr>
          <w:p w14:paraId="4B14AAF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5515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B53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5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6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E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460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1B5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87A3">
            <w:pPr>
              <w:rPr>
                <w:rFonts w:hint="eastAsia" w:ascii="宋体" w:hAnsi="宋体" w:eastAsia="宋体" w:cs="宋体"/>
                <w:i w:val="0"/>
                <w:iCs w:val="0"/>
                <w:color w:val="000000"/>
                <w:sz w:val="22"/>
                <w:szCs w:val="22"/>
                <w:u w:val="none"/>
              </w:rPr>
            </w:pPr>
          </w:p>
        </w:tc>
        <w:tc>
          <w:tcPr>
            <w:tcW w:w="1380" w:type="dxa"/>
            <w:vMerge w:val="continue"/>
            <w:tcBorders>
              <w:left w:val="single" w:color="000000" w:sz="4" w:space="0"/>
              <w:right w:val="single" w:color="000000" w:sz="4" w:space="0"/>
            </w:tcBorders>
            <w:shd w:val="clear" w:color="auto" w:fill="auto"/>
            <w:vAlign w:val="center"/>
          </w:tcPr>
          <w:p w14:paraId="214347B0">
            <w:pPr>
              <w:jc w:val="center"/>
              <w:rPr>
                <w:rFonts w:hint="eastAsia" w:ascii="宋体" w:hAnsi="宋体" w:eastAsia="宋体" w:cs="宋体"/>
                <w:i w:val="0"/>
                <w:iCs w:val="0"/>
                <w:color w:val="000000"/>
                <w:sz w:val="22"/>
                <w:szCs w:val="22"/>
                <w:u w:val="none"/>
              </w:rPr>
            </w:pPr>
          </w:p>
        </w:tc>
      </w:tr>
      <w:tr w14:paraId="293CB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3B3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74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99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A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A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478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1F3A">
            <w:pPr>
              <w:rPr>
                <w:rFonts w:hint="eastAsia" w:ascii="宋体" w:hAnsi="宋体" w:eastAsia="宋体" w:cs="宋体"/>
                <w:i w:val="0"/>
                <w:iCs w:val="0"/>
                <w:color w:val="000000"/>
                <w:sz w:val="24"/>
                <w:szCs w:val="24"/>
                <w:u w:val="none"/>
              </w:rPr>
            </w:pPr>
          </w:p>
        </w:tc>
        <w:tc>
          <w:tcPr>
            <w:tcW w:w="1380" w:type="dxa"/>
            <w:vMerge w:val="continue"/>
            <w:tcBorders>
              <w:left w:val="single" w:color="000000" w:sz="4" w:space="0"/>
              <w:right w:val="single" w:color="000000" w:sz="4" w:space="0"/>
            </w:tcBorders>
            <w:shd w:val="clear" w:color="auto" w:fill="auto"/>
            <w:vAlign w:val="center"/>
          </w:tcPr>
          <w:p w14:paraId="4BE01DF0">
            <w:pPr>
              <w:jc w:val="center"/>
              <w:rPr>
                <w:rFonts w:hint="eastAsia" w:ascii="宋体" w:hAnsi="宋体" w:eastAsia="宋体" w:cs="宋体"/>
                <w:i w:val="0"/>
                <w:iCs w:val="0"/>
                <w:color w:val="000000"/>
                <w:sz w:val="22"/>
                <w:szCs w:val="22"/>
                <w:u w:val="none"/>
              </w:rPr>
            </w:pPr>
          </w:p>
        </w:tc>
      </w:tr>
      <w:tr w14:paraId="6BD1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370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BB3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5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3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01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0548">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7F2C">
            <w:pPr>
              <w:rPr>
                <w:rFonts w:hint="eastAsia" w:ascii="宋体" w:hAnsi="宋体" w:eastAsia="宋体" w:cs="宋体"/>
                <w:i w:val="0"/>
                <w:iCs w:val="0"/>
                <w:color w:val="000000"/>
                <w:sz w:val="24"/>
                <w:szCs w:val="24"/>
                <w:u w:val="none"/>
              </w:rPr>
            </w:pPr>
          </w:p>
        </w:tc>
        <w:tc>
          <w:tcPr>
            <w:tcW w:w="1380" w:type="dxa"/>
            <w:vMerge w:val="continue"/>
            <w:tcBorders>
              <w:left w:val="single" w:color="000000" w:sz="4" w:space="0"/>
              <w:right w:val="single" w:color="000000" w:sz="4" w:space="0"/>
            </w:tcBorders>
            <w:shd w:val="clear" w:color="auto" w:fill="auto"/>
            <w:vAlign w:val="center"/>
          </w:tcPr>
          <w:p w14:paraId="3215325A">
            <w:pPr>
              <w:jc w:val="center"/>
              <w:rPr>
                <w:rFonts w:hint="eastAsia" w:ascii="宋体" w:hAnsi="宋体" w:eastAsia="宋体" w:cs="宋体"/>
                <w:i w:val="0"/>
                <w:iCs w:val="0"/>
                <w:color w:val="000000"/>
                <w:sz w:val="22"/>
                <w:szCs w:val="22"/>
                <w:u w:val="none"/>
              </w:rPr>
            </w:pPr>
          </w:p>
        </w:tc>
      </w:tr>
      <w:tr w14:paraId="5CB9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C8F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26E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05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DN600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D43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E63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EC7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3EE1">
            <w:pPr>
              <w:rPr>
                <w:rFonts w:hint="eastAsia" w:ascii="宋体" w:hAnsi="宋体" w:eastAsia="宋体" w:cs="宋体"/>
                <w:i w:val="0"/>
                <w:iCs w:val="0"/>
                <w:color w:val="000000"/>
                <w:sz w:val="24"/>
                <w:szCs w:val="24"/>
                <w:u w:val="none"/>
              </w:rPr>
            </w:pPr>
          </w:p>
        </w:tc>
        <w:tc>
          <w:tcPr>
            <w:tcW w:w="1380" w:type="dxa"/>
            <w:vMerge w:val="continue"/>
            <w:tcBorders>
              <w:left w:val="single" w:color="000000" w:sz="4" w:space="0"/>
              <w:right w:val="single" w:color="000000" w:sz="4" w:space="0"/>
            </w:tcBorders>
            <w:shd w:val="clear" w:color="auto" w:fill="auto"/>
            <w:vAlign w:val="center"/>
          </w:tcPr>
          <w:p w14:paraId="3981BEAC">
            <w:pPr>
              <w:jc w:val="center"/>
              <w:rPr>
                <w:rFonts w:hint="eastAsia" w:ascii="宋体" w:hAnsi="宋体" w:eastAsia="宋体" w:cs="宋体"/>
                <w:i w:val="0"/>
                <w:iCs w:val="0"/>
                <w:color w:val="000000"/>
                <w:sz w:val="22"/>
                <w:szCs w:val="22"/>
                <w:u w:val="none"/>
              </w:rPr>
            </w:pPr>
          </w:p>
        </w:tc>
      </w:tr>
      <w:tr w14:paraId="728A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CD0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D4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9CA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DN900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4C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BBF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FAC3">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F823">
            <w:pPr>
              <w:rPr>
                <w:rFonts w:hint="eastAsia" w:ascii="宋体" w:hAnsi="宋体" w:eastAsia="宋体" w:cs="宋体"/>
                <w:i w:val="0"/>
                <w:iCs w:val="0"/>
                <w:color w:val="000000"/>
                <w:sz w:val="24"/>
                <w:szCs w:val="24"/>
                <w:u w:val="none"/>
              </w:rPr>
            </w:pPr>
          </w:p>
        </w:tc>
        <w:tc>
          <w:tcPr>
            <w:tcW w:w="1380" w:type="dxa"/>
            <w:vMerge w:val="continue"/>
            <w:tcBorders>
              <w:left w:val="single" w:color="000000" w:sz="4" w:space="0"/>
              <w:right w:val="single" w:color="000000" w:sz="4" w:space="0"/>
            </w:tcBorders>
            <w:shd w:val="clear" w:color="auto" w:fill="auto"/>
            <w:vAlign w:val="center"/>
          </w:tcPr>
          <w:p w14:paraId="2DC39ACB">
            <w:pPr>
              <w:jc w:val="center"/>
              <w:rPr>
                <w:rFonts w:hint="eastAsia" w:ascii="宋体" w:hAnsi="宋体" w:eastAsia="宋体" w:cs="宋体"/>
                <w:i w:val="0"/>
                <w:iCs w:val="0"/>
                <w:color w:val="000000"/>
                <w:sz w:val="22"/>
                <w:szCs w:val="22"/>
                <w:u w:val="none"/>
              </w:rPr>
            </w:pPr>
          </w:p>
        </w:tc>
      </w:tr>
      <w:tr w14:paraId="12D1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8E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206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钢制双法兰限位伸缩节</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CD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DN1000</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071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29F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80B1">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3325">
            <w:pPr>
              <w:rPr>
                <w:rFonts w:hint="eastAsia" w:ascii="宋体" w:hAnsi="宋体" w:eastAsia="宋体" w:cs="宋体"/>
                <w:i w:val="0"/>
                <w:iCs w:val="0"/>
                <w:color w:val="000000"/>
                <w:sz w:val="24"/>
                <w:szCs w:val="24"/>
                <w:u w:val="none"/>
              </w:rPr>
            </w:pPr>
          </w:p>
        </w:tc>
        <w:tc>
          <w:tcPr>
            <w:tcW w:w="1380" w:type="dxa"/>
            <w:vMerge w:val="continue"/>
            <w:tcBorders>
              <w:left w:val="single" w:color="000000" w:sz="4" w:space="0"/>
              <w:bottom w:val="nil"/>
              <w:right w:val="single" w:color="000000" w:sz="4" w:space="0"/>
            </w:tcBorders>
            <w:shd w:val="clear" w:color="auto" w:fill="auto"/>
            <w:vAlign w:val="center"/>
          </w:tcPr>
          <w:p w14:paraId="6702BE0B">
            <w:pPr>
              <w:jc w:val="center"/>
              <w:rPr>
                <w:rFonts w:hint="eastAsia" w:ascii="宋体" w:hAnsi="宋体" w:eastAsia="宋体" w:cs="宋体"/>
                <w:i w:val="0"/>
                <w:iCs w:val="0"/>
                <w:color w:val="000000"/>
                <w:sz w:val="22"/>
                <w:szCs w:val="22"/>
                <w:u w:val="none"/>
              </w:rPr>
            </w:pPr>
          </w:p>
        </w:tc>
      </w:tr>
      <w:tr w14:paraId="37004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31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价（元）</w:t>
            </w:r>
          </w:p>
        </w:tc>
        <w:tc>
          <w:tcPr>
            <w:tcW w:w="69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9F4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031A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45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8E4A">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5ECD80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2、未被“信用中国”网站列入失信被执行人、重大税收违法案件当事人名单、政府采购严重失信行为记录名单；</w:t>
            </w:r>
          </w:p>
          <w:p w14:paraId="0D485A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3、对于参加报价的供应商，须具有合法的营业执照；</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4、报价人提供自2022年以来的供水企业业绩证明（相对应的合同、发票扫描件，加盖公章）。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3FA93690">
            <w:pPr>
              <w:keepNext w:val="0"/>
              <w:keepLines w:val="0"/>
              <w:widowControl/>
              <w:suppressLineNumbers w:val="0"/>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三、材料标准及要求</w:t>
            </w:r>
          </w:p>
          <w:p w14:paraId="6802CD7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（一）产品制造、安装及检验标准</w:t>
            </w:r>
          </w:p>
          <w:p w14:paraId="4B9684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1、设计标准：GB/T12465-2007《管道补偿接头》</w:t>
            </w:r>
          </w:p>
          <w:p w14:paraId="555E6C9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2、制造标准：GB12220-1989《通用阀门标志》</w:t>
            </w:r>
          </w:p>
          <w:p w14:paraId="3837910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GB/T12252-1989《通用阀门 供货要求》</w:t>
            </w:r>
          </w:p>
          <w:p w14:paraId="179B38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GB191-2000《包装储运图示标志》</w:t>
            </w:r>
          </w:p>
          <w:p w14:paraId="65C69F3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JB/T106-2004《阀门的标志和油漆》</w:t>
            </w:r>
          </w:p>
          <w:p w14:paraId="28CDA63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GB/T12227《通用阀门球墨铸件技术条件》</w:t>
            </w:r>
          </w:p>
          <w:p w14:paraId="0720E7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3、试验标准：GB/T12465-2007《管道补偿接头》</w:t>
            </w:r>
          </w:p>
          <w:p w14:paraId="3EC8FC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GB/T13927-1992《通用阀门 压力试验》</w:t>
            </w:r>
          </w:p>
          <w:p w14:paraId="516B3DE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4、结构长度标准：GB/T12221-2005《金属阀门 结构长度》</w:t>
            </w:r>
          </w:p>
          <w:p w14:paraId="4004F62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5、连接法兰标准：GB/T17241.6-1998《整体铸铁管法兰》</w:t>
            </w:r>
          </w:p>
          <w:p w14:paraId="1A3E671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6、材料标准：JB/T5300-2008《工业阀门材料选用导则》</w:t>
            </w:r>
          </w:p>
          <w:p w14:paraId="797D22D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GB/T1220-2007《不锈钢棒》</w:t>
            </w:r>
          </w:p>
          <w:p w14:paraId="4619DF3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HG/T3091-2000《橡胶密封件给排水管及污水管道用接口密封圈材料规范》</w:t>
            </w:r>
          </w:p>
          <w:p w14:paraId="28304C3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GB/T18593-2001《熔融结合环氧粉末涂料的防腐蚀涂装》</w:t>
            </w:r>
          </w:p>
          <w:p w14:paraId="028818E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（二）双法兰限位伸缩节技术说明</w:t>
            </w:r>
          </w:p>
          <w:p w14:paraId="50BDAA0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1、性能特点</w:t>
            </w:r>
          </w:p>
          <w:p w14:paraId="12F08EF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伸缩接头能补偿管道一定范围内的位移、错位和挠曲，并可在拆装阀门时提供间隙。限位伸缩接头是在松套伸缩接头原有性能的基础上，增设限位装置，在最大伸缩量处用双螺母锁定。这样就实现管道在允许的伸缩量中可以自由伸缩，一旦超过最大伸缩量，就起到限位作用，有效的确保管道安全运行。</w:t>
            </w:r>
          </w:p>
          <w:p w14:paraId="2B1510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设备零件应采用公制，其公制公差符合国家标准GB1184《形状和位置公差未注公差的规定》和GB193《普通螺纹直径与螺距系列》，相同部件具有互换性，外观无缺陷，密封性能符合要求。</w:t>
            </w:r>
          </w:p>
          <w:p w14:paraId="01F3B72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内、外防腐（除精加工表面和补偿接头的密封座）均采用静电喷涂环氧树脂粉末工艺；涂层厚度不大于 0.1mm，但不小于 0.08mm。喷涂前必须进行喷砂除锈，喷砂除锈应按 SISO55900 标准进行；除锈应达 Sa2.5 级。当设备安装后由于各种原因需要再次喷涂时，供货方须按照需方要求完成现场防腐。</w:t>
            </w:r>
          </w:p>
          <w:p w14:paraId="6CD8AC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主要用于蝶阀、闸阀、球阀、截止阀、止回阀等各种管道的连接。</w:t>
            </w:r>
          </w:p>
          <w:p w14:paraId="3E6D7F3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2、制造检验标准 </w:t>
            </w:r>
          </w:p>
          <w:p w14:paraId="3D40CD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（1）接头的设计、制造和验收应严格按 GB/T12465-2007《管路补偿接头》进行；铸件应严格按GB/T12227《通用阀门球墨铸件技术条件》进行。球化度不得低于 4 级。</w:t>
            </w:r>
          </w:p>
          <w:p w14:paraId="6E7F4C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（2）所有伸缩接头在发货前必须进行工厂检查和试验。供货商于试验前七天通知业主派代表参加试验。</w:t>
            </w:r>
          </w:p>
          <w:p w14:paraId="53E260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（3）同一类型的全部伸缩接头由同一生产厂家提供，同一型号伸缩接头的零部件、易损件能互换。</w:t>
            </w:r>
          </w:p>
          <w:p w14:paraId="2FE3406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（4）伸缩和传力接头的工作压力为 1.0Mpa，其设计制作符合 GB12465-2007标准。</w:t>
            </w:r>
          </w:p>
          <w:p w14:paraId="7AF8EB8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3、伸缩接头材质</w:t>
            </w:r>
          </w:p>
          <w:p w14:paraId="16683FF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本体：QT400-15</w:t>
            </w:r>
          </w:p>
          <w:p w14:paraId="4C26E4E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压盖：QT400-15</w:t>
            </w:r>
          </w:p>
          <w:p w14:paraId="4BA1D71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限位法兰短管：Q235B</w:t>
            </w:r>
          </w:p>
          <w:p w14:paraId="4AB1356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密封圈：采用三元乙丙</w:t>
            </w:r>
          </w:p>
          <w:p w14:paraId="276BA1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紧固件：碳钢镀锌处理</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5"/>
          <w:wBefore w:w="332" w:type="dxa"/>
          <w:wAfter w:w="5496" w:type="dxa"/>
          <w:trHeight w:val="585" w:hRule="atLeast"/>
        </w:trPr>
        <w:tc>
          <w:tcPr>
            <w:tcW w:w="2113" w:type="dxa"/>
            <w:gridSpan w:val="2"/>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2514" w:type="dxa"/>
            <w:gridSpan w:val="3"/>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5"/>
          <w:wBefore w:w="332" w:type="dxa"/>
          <w:wAfter w:w="5496" w:type="dxa"/>
          <w:trHeight w:val="585" w:hRule="atLeast"/>
        </w:trPr>
        <w:tc>
          <w:tcPr>
            <w:tcW w:w="2113" w:type="dxa"/>
            <w:gridSpan w:val="2"/>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2514" w:type="dxa"/>
            <w:gridSpan w:val="3"/>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5"/>
          <w:wBefore w:w="332" w:type="dxa"/>
          <w:wAfter w:w="5496" w:type="dxa"/>
          <w:trHeight w:val="585" w:hRule="atLeast"/>
        </w:trPr>
        <w:tc>
          <w:tcPr>
            <w:tcW w:w="2113" w:type="dxa"/>
            <w:gridSpan w:val="2"/>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514" w:type="dxa"/>
            <w:gridSpan w:val="3"/>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5"/>
          <w:wBefore w:w="332" w:type="dxa"/>
          <w:wAfter w:w="5496" w:type="dxa"/>
          <w:trHeight w:val="585" w:hRule="atLeast"/>
        </w:trPr>
        <w:tc>
          <w:tcPr>
            <w:tcW w:w="2113" w:type="dxa"/>
            <w:gridSpan w:val="2"/>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2514" w:type="dxa"/>
            <w:gridSpan w:val="3"/>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010E87B6">
      <w:pPr>
        <w:rPr>
          <w:rFonts w:hint="default" w:ascii="宋体" w:hAnsi="宋体" w:eastAsia="宋体" w:cs="宋体"/>
          <w:b/>
          <w:color w:val="auto"/>
          <w:kern w:val="0"/>
          <w:sz w:val="28"/>
          <w:szCs w:val="28"/>
          <w:highlight w:val="none"/>
          <w:lang w:val="en-US" w:eastAsia="zh-CN"/>
        </w:rPr>
      </w:pPr>
    </w:p>
    <w:p w14:paraId="1D1ECF67">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9F0FDC"/>
    <w:rsid w:val="02004145"/>
    <w:rsid w:val="0215722A"/>
    <w:rsid w:val="03EC63FF"/>
    <w:rsid w:val="04167BE0"/>
    <w:rsid w:val="04363CDB"/>
    <w:rsid w:val="04FE1868"/>
    <w:rsid w:val="055210FB"/>
    <w:rsid w:val="060F014D"/>
    <w:rsid w:val="06C9698C"/>
    <w:rsid w:val="06DE411B"/>
    <w:rsid w:val="081F710D"/>
    <w:rsid w:val="08767CBA"/>
    <w:rsid w:val="095D2509"/>
    <w:rsid w:val="09CE1802"/>
    <w:rsid w:val="0ADA1283"/>
    <w:rsid w:val="0B837613"/>
    <w:rsid w:val="0C4B5C57"/>
    <w:rsid w:val="0C807FF6"/>
    <w:rsid w:val="0D18108F"/>
    <w:rsid w:val="0D8A417F"/>
    <w:rsid w:val="0D9A7247"/>
    <w:rsid w:val="0EE36B7D"/>
    <w:rsid w:val="0F0243F5"/>
    <w:rsid w:val="108154AD"/>
    <w:rsid w:val="12EA747F"/>
    <w:rsid w:val="13121E77"/>
    <w:rsid w:val="13455F77"/>
    <w:rsid w:val="15B72A35"/>
    <w:rsid w:val="15C50828"/>
    <w:rsid w:val="1B4B5C73"/>
    <w:rsid w:val="1B932687"/>
    <w:rsid w:val="1BCA6B98"/>
    <w:rsid w:val="1CAC06B2"/>
    <w:rsid w:val="1E8B21FB"/>
    <w:rsid w:val="1FDE6B47"/>
    <w:rsid w:val="21C63C6B"/>
    <w:rsid w:val="221847B8"/>
    <w:rsid w:val="2262713B"/>
    <w:rsid w:val="228D26CE"/>
    <w:rsid w:val="22CA2753"/>
    <w:rsid w:val="240E2A35"/>
    <w:rsid w:val="24BA1822"/>
    <w:rsid w:val="251A293E"/>
    <w:rsid w:val="270B5BBD"/>
    <w:rsid w:val="27B57E67"/>
    <w:rsid w:val="2940272E"/>
    <w:rsid w:val="2B54029B"/>
    <w:rsid w:val="2CEF3FB8"/>
    <w:rsid w:val="2DCC2BA5"/>
    <w:rsid w:val="2E8923B7"/>
    <w:rsid w:val="2EB23864"/>
    <w:rsid w:val="2ED5212C"/>
    <w:rsid w:val="30552FD2"/>
    <w:rsid w:val="30C90D87"/>
    <w:rsid w:val="30F33128"/>
    <w:rsid w:val="31C64022"/>
    <w:rsid w:val="322A22B1"/>
    <w:rsid w:val="36F07953"/>
    <w:rsid w:val="3885236D"/>
    <w:rsid w:val="391E3890"/>
    <w:rsid w:val="3AF066C3"/>
    <w:rsid w:val="3BEA51F5"/>
    <w:rsid w:val="3C0733A8"/>
    <w:rsid w:val="3C6A6406"/>
    <w:rsid w:val="3D07334D"/>
    <w:rsid w:val="3D2C0ADF"/>
    <w:rsid w:val="3E1E176E"/>
    <w:rsid w:val="3E202F15"/>
    <w:rsid w:val="3E4A3B11"/>
    <w:rsid w:val="3E9078C4"/>
    <w:rsid w:val="3FD55619"/>
    <w:rsid w:val="404B6C28"/>
    <w:rsid w:val="420951A2"/>
    <w:rsid w:val="424A7A77"/>
    <w:rsid w:val="42875CFB"/>
    <w:rsid w:val="42C92294"/>
    <w:rsid w:val="43132246"/>
    <w:rsid w:val="44752CB6"/>
    <w:rsid w:val="45FA78C3"/>
    <w:rsid w:val="47675677"/>
    <w:rsid w:val="48F53072"/>
    <w:rsid w:val="494621F7"/>
    <w:rsid w:val="4C7F348C"/>
    <w:rsid w:val="4CA44F5B"/>
    <w:rsid w:val="4F25246D"/>
    <w:rsid w:val="4FD21B4B"/>
    <w:rsid w:val="50EA7F43"/>
    <w:rsid w:val="50F06B23"/>
    <w:rsid w:val="513973A6"/>
    <w:rsid w:val="51ED6A4B"/>
    <w:rsid w:val="52304CA0"/>
    <w:rsid w:val="54F36E09"/>
    <w:rsid w:val="558820D0"/>
    <w:rsid w:val="57346FE0"/>
    <w:rsid w:val="57F83763"/>
    <w:rsid w:val="59DB49CF"/>
    <w:rsid w:val="5A3B2D3C"/>
    <w:rsid w:val="5A683FFF"/>
    <w:rsid w:val="5AA769EB"/>
    <w:rsid w:val="5C664E8E"/>
    <w:rsid w:val="5DBF29C4"/>
    <w:rsid w:val="5F5E0F4F"/>
    <w:rsid w:val="61D472C4"/>
    <w:rsid w:val="62D85246"/>
    <w:rsid w:val="631F5A7F"/>
    <w:rsid w:val="662752EF"/>
    <w:rsid w:val="66DD5F97"/>
    <w:rsid w:val="68BA0755"/>
    <w:rsid w:val="68E65C61"/>
    <w:rsid w:val="693F2885"/>
    <w:rsid w:val="6ABE0F2D"/>
    <w:rsid w:val="6B342BA7"/>
    <w:rsid w:val="6CF54EC6"/>
    <w:rsid w:val="6D983C19"/>
    <w:rsid w:val="6F8F0EBD"/>
    <w:rsid w:val="6FB438A3"/>
    <w:rsid w:val="701F75C9"/>
    <w:rsid w:val="703F45D4"/>
    <w:rsid w:val="708F5A33"/>
    <w:rsid w:val="71072C9F"/>
    <w:rsid w:val="724D47CD"/>
    <w:rsid w:val="736E263D"/>
    <w:rsid w:val="739F467B"/>
    <w:rsid w:val="73F3271F"/>
    <w:rsid w:val="755D5634"/>
    <w:rsid w:val="7638442C"/>
    <w:rsid w:val="774D2157"/>
    <w:rsid w:val="78937BBC"/>
    <w:rsid w:val="79852FF6"/>
    <w:rsid w:val="7ACC2155"/>
    <w:rsid w:val="7C156B31"/>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2310</Words>
  <Characters>2674</Characters>
  <Lines>39</Lines>
  <Paragraphs>10</Paragraphs>
  <TotalTime>0</TotalTime>
  <ScaleCrop>false</ScaleCrop>
  <LinksUpToDate>false</LinksUpToDate>
  <CharactersWithSpaces>2836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2025-03-28T00:14:10Z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4FB340209AF340CE8941550B20A4C1F0_13</vt:lpwstr>
  </property>
  <property fmtid="{D5CDD505-2E9C-101B-9397-08002B2CF9AE}" pid="4" name="KSOTemplateDocerSaveRecord">
    <vt:lpwstr>eyJoZGlkIjoiNjJiMTg2YzE5OTU2YWVjZTIyNmRlNDZjNDEwMzM3M2EiLCJ1c2VySWQiOiIyMzk3ODg1OTIifQ==</vt:lpwstr>
  </property>
</Properties>
</file>